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0919D977" w:rsidR="00B105B5" w:rsidRDefault="00463AF4" w:rsidP="00463AF4">
      <w:pPr>
        <w:jc w:val="center"/>
        <w:rPr>
          <w:rFonts w:eastAsiaTheme="minorEastAsia"/>
          <w:b/>
          <w:sz w:val="32"/>
          <w:lang w:val="en-US" w:eastAsia="ja-JP"/>
        </w:rPr>
      </w:pPr>
      <w:r>
        <w:rPr>
          <w:rFonts w:eastAsiaTheme="minorEastAsia"/>
          <w:b/>
          <w:noProof/>
          <w:sz w:val="32"/>
          <w:lang w:eastAsia="en-GB"/>
        </w:rPr>
        <w:drawing>
          <wp:inline distT="0" distB="0" distL="0" distR="0" wp14:anchorId="3FB84F2C" wp14:editId="5656B0CC">
            <wp:extent cx="18478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 Logo.jpg"/>
                    <pic:cNvPicPr/>
                  </pic:nvPicPr>
                  <pic:blipFill>
                    <a:blip r:embed="rId8">
                      <a:extLst>
                        <a:ext uri="{28A0092B-C50C-407E-A947-70E740481C1C}">
                          <a14:useLocalDpi xmlns:a14="http://schemas.microsoft.com/office/drawing/2010/main" val="0"/>
                        </a:ext>
                      </a:extLst>
                    </a:blip>
                    <a:stretch>
                      <a:fillRect/>
                    </a:stretch>
                  </pic:blipFill>
                  <pic:spPr>
                    <a:xfrm>
                      <a:off x="0" y="0"/>
                      <a:ext cx="1847850" cy="1171575"/>
                    </a:xfrm>
                    <a:prstGeom prst="rect">
                      <a:avLst/>
                    </a:prstGeom>
                  </pic:spPr>
                </pic:pic>
              </a:graphicData>
            </a:graphic>
          </wp:inline>
        </w:drawing>
      </w:r>
    </w:p>
    <w:p w14:paraId="6086DDC5" w14:textId="77777777" w:rsidR="00B105B5" w:rsidRDefault="00B105B5" w:rsidP="007C7977">
      <w:pPr>
        <w:rPr>
          <w:rFonts w:eastAsiaTheme="minorEastAsia"/>
          <w:b/>
          <w:sz w:val="32"/>
          <w:lang w:val="en-US" w:eastAsia="ja-JP"/>
        </w:rPr>
      </w:pPr>
    </w:p>
    <w:p w14:paraId="3D2113AE" w14:textId="6B25959F" w:rsidR="00A23725" w:rsidRPr="00463AF4" w:rsidRDefault="00463AF4" w:rsidP="00A23725">
      <w:pPr>
        <w:jc w:val="center"/>
        <w:rPr>
          <w:rFonts w:eastAsiaTheme="majorEastAsia" w:cs="Arial"/>
          <w:b/>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463AF4">
        <w:rPr>
          <w:rFonts w:eastAsiaTheme="majorEastAsia" w:cs="Arial"/>
          <w:b/>
          <w:sz w:val="72"/>
          <w:szCs w:val="72"/>
          <w:lang w:eastAsia="ja-JP"/>
        </w:rPr>
        <w:t>Longroyde Primary School</w:t>
      </w:r>
    </w:p>
    <w:p w14:paraId="1BE9E588" w14:textId="7717541E" w:rsidR="00463AF4" w:rsidRDefault="00463AF4" w:rsidP="00A23725">
      <w:pPr>
        <w:jc w:val="center"/>
        <w:rPr>
          <w:rFonts w:eastAsiaTheme="majorEastAsia" w:cs="Arial"/>
          <w:sz w:val="72"/>
          <w:szCs w:val="72"/>
          <w:lang w:eastAsia="ja-JP"/>
        </w:rPr>
      </w:pPr>
    </w:p>
    <w:p w14:paraId="5502E833" w14:textId="77777777" w:rsidR="00463AF4" w:rsidRDefault="00463AF4" w:rsidP="00A23725">
      <w:pPr>
        <w:jc w:val="center"/>
        <w:rPr>
          <w:rFonts w:eastAsiaTheme="majorEastAsia" w:cs="Arial"/>
          <w:color w:val="000000" w:themeColor="text1"/>
          <w:sz w:val="72"/>
          <w:szCs w:val="72"/>
          <w:lang w:eastAsia="ja-JP"/>
        </w:rPr>
      </w:pPr>
    </w:p>
    <w:p w14:paraId="38FCD001" w14:textId="007D14FE" w:rsidR="00A23725" w:rsidRPr="00F165AD" w:rsidRDefault="0062296C"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Cloud Computing</w:t>
      </w:r>
      <w:r w:rsidR="00A23725">
        <w:rPr>
          <w:rFonts w:eastAsiaTheme="majorEastAsia" w:cs="Arial"/>
          <w:color w:val="000000" w:themeColor="text1"/>
          <w:sz w:val="72"/>
          <w:szCs w:val="80"/>
          <w:lang w:val="en-US" w:eastAsia="ja-JP"/>
        </w:rPr>
        <w:t xml:space="preserve"> Policy</w:t>
      </w:r>
    </w:p>
    <w:p w14:paraId="55C48F61" w14:textId="77777777" w:rsidR="00A23725" w:rsidRDefault="00A23725" w:rsidP="00A23725">
      <w:pPr>
        <w:jc w:val="center"/>
        <w:rPr>
          <w:rFonts w:eastAsiaTheme="majorEastAsia" w:cs="Arial"/>
          <w:color w:val="5F5F5F" w:themeColor="accent1" w:themeShade="BF"/>
          <w:sz w:val="80"/>
          <w:szCs w:val="80"/>
          <w:lang w:val="en-US" w:eastAsia="ja-JP"/>
        </w:rPr>
      </w:pPr>
    </w:p>
    <w:p w14:paraId="70BD4DFB" w14:textId="77777777" w:rsidR="00A23725" w:rsidRDefault="00A23725" w:rsidP="00A23725">
      <w:pPr>
        <w:jc w:val="center"/>
        <w:rPr>
          <w:rFonts w:eastAsiaTheme="majorEastAsia" w:cs="Arial"/>
          <w:color w:val="5F5F5F" w:themeColor="accent1" w:themeShade="BF"/>
          <w:sz w:val="80"/>
          <w:szCs w:val="80"/>
          <w:lang w:val="en-US" w:eastAsia="ja-JP"/>
        </w:rPr>
      </w:pPr>
    </w:p>
    <w:p w14:paraId="29659CE8" w14:textId="4F6E569D" w:rsidR="00463AF4" w:rsidRDefault="00463AF4">
      <w:pPr>
        <w:rPr>
          <w:rFonts w:eastAsiaTheme="majorEastAsia" w:cs="Arial"/>
          <w:color w:val="5F5F5F" w:themeColor="accent1" w:themeShade="BF"/>
          <w:sz w:val="80"/>
          <w:szCs w:val="80"/>
          <w:lang w:val="en-US" w:eastAsia="ja-JP"/>
        </w:rPr>
      </w:pPr>
      <w:r>
        <w:rPr>
          <w:rFonts w:eastAsiaTheme="majorEastAsia" w:cs="Arial"/>
          <w:color w:val="5F5F5F" w:themeColor="accent1" w:themeShade="BF"/>
          <w:sz w:val="80"/>
          <w:szCs w:val="80"/>
          <w:lang w:val="en-US" w:eastAsia="ja-JP"/>
        </w:rPr>
        <w:br w:type="page"/>
      </w:r>
    </w:p>
    <w:p w14:paraId="56FDACBC" w14:textId="77777777" w:rsidR="00A23725" w:rsidRDefault="00A23725" w:rsidP="00A23725">
      <w:pPr>
        <w:jc w:val="center"/>
        <w:rPr>
          <w:rFonts w:eastAsiaTheme="majorEastAsia" w:cs="Arial"/>
          <w:color w:val="5F5F5F" w:themeColor="accent1" w:themeShade="BF"/>
          <w:sz w:val="80"/>
          <w:szCs w:val="80"/>
          <w:lang w:val="en-US" w:eastAsia="ja-JP"/>
        </w:rPr>
      </w:pPr>
    </w:p>
    <w:p w14:paraId="15BB98F5" w14:textId="77777777" w:rsidR="00A23725" w:rsidRPr="00463AF4" w:rsidRDefault="00A23725" w:rsidP="00A23725">
      <w:pPr>
        <w:pStyle w:val="ListParagraph"/>
        <w:spacing w:before="120" w:after="120" w:line="320" w:lineRule="exact"/>
        <w:ind w:left="360"/>
        <w:rPr>
          <w:rFonts w:ascii="Arial" w:hAnsi="Arial" w:cs="Arial"/>
          <w:sz w:val="32"/>
        </w:rPr>
      </w:pPr>
      <w:r w:rsidRPr="00463AF4">
        <w:rPr>
          <w:rFonts w:ascii="Arial" w:hAnsi="Arial" w:cs="Arial"/>
          <w:sz w:val="32"/>
        </w:rPr>
        <w:t>Contents:</w:t>
      </w:r>
    </w:p>
    <w:p w14:paraId="5716D7CA" w14:textId="62F59C2B" w:rsidR="00564A41" w:rsidRPr="00463AF4" w:rsidRDefault="00564A41" w:rsidP="00564A41">
      <w:pPr>
        <w:spacing w:before="120" w:after="120" w:line="320" w:lineRule="exact"/>
        <w:ind w:left="360"/>
        <w:jc w:val="both"/>
        <w:rPr>
          <w:rStyle w:val="Hyperlink"/>
          <w:rFonts w:asciiTheme="minorHAnsi" w:hAnsiTheme="minorHAnsi" w:cstheme="minorHAnsi"/>
          <w:color w:val="auto"/>
        </w:rPr>
      </w:pPr>
      <w:r w:rsidRPr="00463AF4">
        <w:rPr>
          <w:rFonts w:asciiTheme="minorHAnsi" w:hAnsiTheme="minorHAnsi" w:cstheme="minorHAnsi"/>
          <w:u w:val="single"/>
        </w:rPr>
        <w:fldChar w:fldCharType="begin"/>
      </w:r>
      <w:r w:rsidRPr="00463AF4">
        <w:rPr>
          <w:rFonts w:asciiTheme="minorHAnsi" w:hAnsiTheme="minorHAnsi" w:cstheme="minorHAnsi"/>
          <w:u w:val="single"/>
        </w:rPr>
        <w:instrText xml:space="preserve"> HYPERLINK  \l "_Statement_of_intent_1" </w:instrText>
      </w:r>
      <w:r w:rsidRPr="00463AF4">
        <w:rPr>
          <w:rFonts w:asciiTheme="minorHAnsi" w:hAnsiTheme="minorHAnsi" w:cstheme="minorHAnsi"/>
          <w:u w:val="single"/>
        </w:rPr>
        <w:fldChar w:fldCharType="separate"/>
      </w:r>
      <w:r w:rsidRPr="00463AF4">
        <w:rPr>
          <w:rStyle w:val="Hyperlink"/>
          <w:rFonts w:asciiTheme="minorHAnsi" w:hAnsiTheme="minorHAnsi" w:cstheme="minorHAnsi"/>
          <w:color w:val="auto"/>
        </w:rPr>
        <w:t>Statement of intent</w:t>
      </w:r>
      <w:bookmarkStart w:id="4" w:name="_GoBack"/>
      <w:bookmarkEnd w:id="4"/>
    </w:p>
    <w:p w14:paraId="22615725" w14:textId="21D5303B" w:rsidR="00564A41" w:rsidRPr="00463AF4" w:rsidRDefault="00564A41" w:rsidP="00564A41">
      <w:pPr>
        <w:pStyle w:val="ListParagraph"/>
        <w:numPr>
          <w:ilvl w:val="0"/>
          <w:numId w:val="29"/>
        </w:numPr>
        <w:spacing w:before="120" w:after="120" w:line="320" w:lineRule="exact"/>
        <w:ind w:left="1134" w:hanging="425"/>
        <w:jc w:val="both"/>
        <w:rPr>
          <w:rStyle w:val="Hyperlink"/>
          <w:color w:val="auto"/>
        </w:rPr>
      </w:pPr>
      <w:r w:rsidRPr="00463AF4">
        <w:rPr>
          <w:rFonts w:cstheme="minorHAnsi"/>
          <w:u w:val="single"/>
        </w:rPr>
        <w:fldChar w:fldCharType="end"/>
      </w:r>
      <w:r w:rsidRPr="00463AF4">
        <w:rPr>
          <w:rFonts w:cstheme="minorHAnsi"/>
          <w:u w:val="single"/>
        </w:rPr>
        <w:fldChar w:fldCharType="begin"/>
      </w:r>
      <w:r w:rsidRPr="00463AF4">
        <w:rPr>
          <w:rFonts w:cstheme="minorHAnsi"/>
          <w:u w:val="single"/>
        </w:rPr>
        <w:instrText xml:space="preserve"> HYPERLINK  \l "_Legal_framework_1" </w:instrText>
      </w:r>
      <w:r w:rsidRPr="00463AF4">
        <w:rPr>
          <w:rFonts w:cstheme="minorHAnsi"/>
          <w:u w:val="single"/>
        </w:rPr>
        <w:fldChar w:fldCharType="separate"/>
      </w:r>
      <w:r w:rsidRPr="00463AF4">
        <w:rPr>
          <w:rStyle w:val="Hyperlink"/>
          <w:rFonts w:cstheme="minorHAnsi"/>
          <w:color w:val="auto"/>
        </w:rPr>
        <w:t>Legal framework</w:t>
      </w:r>
    </w:p>
    <w:p w14:paraId="0B58FC76" w14:textId="248A7E10" w:rsidR="00564A41" w:rsidRPr="00463AF4" w:rsidRDefault="00564A41" w:rsidP="00564A41">
      <w:pPr>
        <w:pStyle w:val="ListParagraph"/>
        <w:numPr>
          <w:ilvl w:val="0"/>
          <w:numId w:val="29"/>
        </w:numPr>
        <w:spacing w:before="120" w:after="120" w:line="320" w:lineRule="exact"/>
        <w:ind w:left="1134" w:hanging="425"/>
        <w:jc w:val="both"/>
        <w:rPr>
          <w:rStyle w:val="Hyperlink"/>
          <w:color w:val="auto"/>
        </w:rPr>
      </w:pPr>
      <w:r w:rsidRPr="00463AF4">
        <w:rPr>
          <w:rFonts w:cstheme="minorHAnsi"/>
          <w:u w:val="single"/>
        </w:rPr>
        <w:fldChar w:fldCharType="end"/>
      </w:r>
      <w:r w:rsidRPr="00463AF4">
        <w:rPr>
          <w:rFonts w:cstheme="minorHAnsi"/>
          <w:u w:val="single"/>
        </w:rPr>
        <w:fldChar w:fldCharType="begin"/>
      </w:r>
      <w:r w:rsidRPr="00463AF4">
        <w:rPr>
          <w:rFonts w:cstheme="minorHAnsi"/>
          <w:u w:val="single"/>
        </w:rPr>
        <w:instrText xml:space="preserve"> HYPERLINK  \l "_Roles_and_responsibilities" </w:instrText>
      </w:r>
      <w:r w:rsidRPr="00463AF4">
        <w:rPr>
          <w:rFonts w:cstheme="minorHAnsi"/>
          <w:u w:val="single"/>
        </w:rPr>
        <w:fldChar w:fldCharType="separate"/>
      </w:r>
      <w:r w:rsidRPr="00463AF4">
        <w:rPr>
          <w:rStyle w:val="Hyperlink"/>
          <w:rFonts w:cstheme="minorHAnsi"/>
          <w:color w:val="auto"/>
        </w:rPr>
        <w:t>Definition</w:t>
      </w:r>
    </w:p>
    <w:p w14:paraId="6FDA026C" w14:textId="17961CE0" w:rsidR="00564A41" w:rsidRPr="00463AF4" w:rsidRDefault="00564A41" w:rsidP="00564A41">
      <w:pPr>
        <w:pStyle w:val="ListParagraph"/>
        <w:numPr>
          <w:ilvl w:val="0"/>
          <w:numId w:val="29"/>
        </w:numPr>
        <w:spacing w:before="120" w:after="120" w:line="320" w:lineRule="exact"/>
        <w:ind w:left="1134" w:hanging="425"/>
        <w:jc w:val="both"/>
        <w:rPr>
          <w:rStyle w:val="Hyperlink"/>
          <w:color w:val="auto"/>
        </w:rPr>
      </w:pPr>
      <w:r w:rsidRPr="00463AF4">
        <w:rPr>
          <w:rFonts w:cstheme="minorHAnsi"/>
          <w:u w:val="single"/>
        </w:rPr>
        <w:fldChar w:fldCharType="end"/>
      </w:r>
      <w:r w:rsidRPr="00463AF4">
        <w:rPr>
          <w:rFonts w:cstheme="minorHAnsi"/>
          <w:u w:val="single"/>
        </w:rPr>
        <w:fldChar w:fldCharType="begin"/>
      </w:r>
      <w:r w:rsidRPr="00463AF4">
        <w:rPr>
          <w:rFonts w:cstheme="minorHAnsi"/>
          <w:u w:val="single"/>
        </w:rPr>
        <w:instrText xml:space="preserve"> HYPERLINK  \l "_Roles_and_responsibilities_1" </w:instrText>
      </w:r>
      <w:r w:rsidRPr="00463AF4">
        <w:rPr>
          <w:rFonts w:cstheme="minorHAnsi"/>
          <w:u w:val="single"/>
        </w:rPr>
        <w:fldChar w:fldCharType="separate"/>
      </w:r>
      <w:r w:rsidRPr="00463AF4">
        <w:rPr>
          <w:rStyle w:val="Hyperlink"/>
          <w:rFonts w:cstheme="minorHAnsi"/>
          <w:color w:val="auto"/>
        </w:rPr>
        <w:t>Roles and responsibilities</w:t>
      </w:r>
    </w:p>
    <w:p w14:paraId="199BD4FC" w14:textId="6534CBB8" w:rsidR="00564A41" w:rsidRPr="00463AF4" w:rsidRDefault="00564A41" w:rsidP="00564A41">
      <w:pPr>
        <w:pStyle w:val="ListParagraph"/>
        <w:numPr>
          <w:ilvl w:val="0"/>
          <w:numId w:val="29"/>
        </w:numPr>
        <w:spacing w:before="120" w:after="120" w:line="320" w:lineRule="exact"/>
        <w:ind w:left="1134" w:hanging="425"/>
        <w:jc w:val="both"/>
        <w:rPr>
          <w:rStyle w:val="Hyperlink"/>
          <w:color w:val="auto"/>
        </w:rPr>
      </w:pPr>
      <w:r w:rsidRPr="00463AF4">
        <w:rPr>
          <w:rFonts w:cstheme="minorHAnsi"/>
          <w:u w:val="single"/>
        </w:rPr>
        <w:fldChar w:fldCharType="end"/>
      </w:r>
      <w:r w:rsidRPr="00463AF4">
        <w:rPr>
          <w:rFonts w:cstheme="minorHAnsi"/>
          <w:u w:val="single"/>
        </w:rPr>
        <w:fldChar w:fldCharType="begin"/>
      </w:r>
      <w:r w:rsidRPr="00463AF4">
        <w:rPr>
          <w:rFonts w:cstheme="minorHAnsi"/>
          <w:u w:val="single"/>
        </w:rPr>
        <w:instrText xml:space="preserve"> HYPERLINK  \l "_Data_protection" </w:instrText>
      </w:r>
      <w:r w:rsidRPr="00463AF4">
        <w:rPr>
          <w:rFonts w:cstheme="minorHAnsi"/>
          <w:u w:val="single"/>
        </w:rPr>
        <w:fldChar w:fldCharType="separate"/>
      </w:r>
      <w:r w:rsidRPr="00463AF4">
        <w:rPr>
          <w:rStyle w:val="Hyperlink"/>
          <w:rFonts w:cstheme="minorHAnsi"/>
          <w:color w:val="auto"/>
        </w:rPr>
        <w:t>Data protection</w:t>
      </w:r>
    </w:p>
    <w:p w14:paraId="0A4682D2" w14:textId="54D8062D" w:rsidR="00564A41" w:rsidRPr="00463AF4" w:rsidRDefault="00564A41" w:rsidP="00564A41">
      <w:pPr>
        <w:pStyle w:val="ListParagraph"/>
        <w:numPr>
          <w:ilvl w:val="0"/>
          <w:numId w:val="29"/>
        </w:numPr>
        <w:spacing w:before="120" w:after="120" w:line="320" w:lineRule="exact"/>
        <w:ind w:left="1134" w:hanging="425"/>
        <w:jc w:val="both"/>
        <w:rPr>
          <w:rStyle w:val="Hyperlink"/>
          <w:color w:val="auto"/>
        </w:rPr>
      </w:pPr>
      <w:r w:rsidRPr="00463AF4">
        <w:rPr>
          <w:rFonts w:cstheme="minorHAnsi"/>
          <w:u w:val="single"/>
        </w:rPr>
        <w:fldChar w:fldCharType="end"/>
      </w:r>
      <w:hyperlink w:anchor="_Monitoring_and_review" w:history="1">
        <w:r w:rsidRPr="00463AF4">
          <w:rPr>
            <w:rStyle w:val="Hyperlink"/>
            <w:rFonts w:cstheme="minorHAnsi"/>
            <w:color w:val="auto"/>
          </w:rPr>
          <w:t xml:space="preserve">Monitoring and review </w:t>
        </w:r>
      </w:hyperlink>
      <w:r w:rsidRPr="00463AF4">
        <w:rPr>
          <w:rStyle w:val="Hyperlink"/>
          <w:rFonts w:cstheme="minorHAnsi"/>
          <w:color w:val="auto"/>
        </w:rPr>
        <w:t xml:space="preserve"> </w:t>
      </w:r>
    </w:p>
    <w:p w14:paraId="41DDDD53" w14:textId="77777777" w:rsidR="00A23725" w:rsidRPr="00463AF4" w:rsidRDefault="00A23725" w:rsidP="00A23725">
      <w:pPr>
        <w:spacing w:line="320" w:lineRule="exact"/>
        <w:rPr>
          <w:rFonts w:cs="Arial"/>
        </w:rPr>
      </w:pP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5" w:name="_Statement_of_Intent"/>
      <w:bookmarkEnd w:id="5"/>
    </w:p>
    <w:p w14:paraId="3B9D4495"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6" w:name="_Statement_of_intent_1"/>
      <w:bookmarkStart w:id="7" w:name="statment"/>
      <w:bookmarkStart w:id="8" w:name="statement"/>
      <w:bookmarkEnd w:id="6"/>
      <w:r>
        <w:rPr>
          <w:rFonts w:asciiTheme="minorHAnsi" w:hAnsiTheme="minorHAnsi" w:cstheme="minorHAnsi"/>
          <w:b/>
          <w:sz w:val="28"/>
          <w:szCs w:val="22"/>
        </w:rPr>
        <w:t xml:space="preserve">Statement of intent </w:t>
      </w:r>
    </w:p>
    <w:bookmarkEnd w:id="7"/>
    <w:bookmarkEnd w:id="8"/>
    <w:p w14:paraId="62800EDF" w14:textId="30245063" w:rsidR="00564A41" w:rsidRDefault="00564A41" w:rsidP="00564A41">
      <w:pPr>
        <w:pStyle w:val="TSB-PolicyBullets"/>
        <w:numPr>
          <w:ilvl w:val="0"/>
          <w:numId w:val="0"/>
        </w:numPr>
      </w:pPr>
      <w:r>
        <w:t xml:space="preserve">We recognise the benefits of cloud computing, including those in relation to data processing, value for money and teaching developments. </w:t>
      </w:r>
    </w:p>
    <w:p w14:paraId="65C76471" w14:textId="77777777" w:rsidR="00564A41" w:rsidRDefault="00564A41" w:rsidP="00564A41">
      <w:pPr>
        <w:pStyle w:val="TSB-PolicyBullets"/>
        <w:numPr>
          <w:ilvl w:val="0"/>
          <w:numId w:val="0"/>
        </w:numPr>
      </w:pPr>
      <w:r>
        <w:t xml:space="preserve">We are committed to ensuring that the collation, retention, storage and security of all information produced is in accordance with the Data Protection Act 1998. </w:t>
      </w:r>
    </w:p>
    <w:p w14:paraId="2D651E51" w14:textId="77777777" w:rsidR="00564A41" w:rsidRDefault="00564A41" w:rsidP="00564A41">
      <w:pPr>
        <w:pStyle w:val="TSB-PolicyBullets"/>
        <w:numPr>
          <w:ilvl w:val="0"/>
          <w:numId w:val="0"/>
        </w:numPr>
      </w:pPr>
      <w:r>
        <w:t xml:space="preserve">The aim of this policy is to outline the role and responsibilities of staff members, as well as the service provider, in relation to using the cloud for data processing, including educational records, headteacher’s reports and any personnel data.  </w:t>
      </w:r>
    </w:p>
    <w:p w14:paraId="1B48C60C" w14:textId="77777777" w:rsidR="00564A41" w:rsidRDefault="00564A41" w:rsidP="00564A41">
      <w:pPr>
        <w:pStyle w:val="TSB-PolicyBullets"/>
        <w:numPr>
          <w:ilvl w:val="0"/>
          <w:numId w:val="0"/>
        </w:numPr>
      </w:pPr>
      <w:r>
        <w:t xml:space="preserve">This policy applies to all staff members, pupils and parents accessing the school’s cloud service via personal devices. </w:t>
      </w:r>
    </w:p>
    <w:p w14:paraId="0B14BFB5" w14:textId="77777777" w:rsidR="00A23725" w:rsidRDefault="00A23725" w:rsidP="00A23725">
      <w:pPr>
        <w:ind w:left="417"/>
        <w:jc w:val="both"/>
      </w:pPr>
    </w:p>
    <w:p w14:paraId="360B34BB" w14:textId="77777777" w:rsidR="00A23725" w:rsidRDefault="00A23725" w:rsidP="00A23725">
      <w:pPr>
        <w:ind w:left="417"/>
        <w:jc w:val="both"/>
      </w:pPr>
    </w:p>
    <w:p w14:paraId="66F2C9B1" w14:textId="31D414E4" w:rsidR="00A23725" w:rsidRDefault="00A23725" w:rsidP="00A23725">
      <w:pPr>
        <w:ind w:left="417"/>
        <w:jc w:val="both"/>
      </w:pPr>
    </w:p>
    <w:p w14:paraId="3032400D" w14:textId="12D008AB" w:rsidR="00564A41" w:rsidRDefault="00564A41" w:rsidP="00A23725">
      <w:pPr>
        <w:ind w:left="417"/>
        <w:jc w:val="both"/>
      </w:pPr>
    </w:p>
    <w:p w14:paraId="51E948B5" w14:textId="245A6408" w:rsidR="00564A41" w:rsidRDefault="00564A41" w:rsidP="00A23725">
      <w:pPr>
        <w:ind w:left="417"/>
        <w:jc w:val="both"/>
      </w:pPr>
    </w:p>
    <w:p w14:paraId="3ABC3CDB" w14:textId="62776F01" w:rsidR="00564A41" w:rsidRDefault="00564A41" w:rsidP="00A23725">
      <w:pPr>
        <w:ind w:left="417"/>
        <w:jc w:val="both"/>
      </w:pPr>
    </w:p>
    <w:p w14:paraId="1AEA6437" w14:textId="77777777" w:rsidR="00564A41" w:rsidRDefault="00564A41" w:rsidP="00A23725">
      <w:pPr>
        <w:ind w:left="417"/>
        <w:jc w:val="both"/>
      </w:pPr>
    </w:p>
    <w:p w14:paraId="2D3DAFDF" w14:textId="77777777" w:rsidR="00564A41" w:rsidRDefault="00564A41" w:rsidP="00A23725">
      <w:pPr>
        <w:ind w:left="417"/>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A43E4C">
        <w:trPr>
          <w:trHeight w:val="389"/>
        </w:trPr>
        <w:tc>
          <w:tcPr>
            <w:tcW w:w="9026" w:type="dxa"/>
            <w:gridSpan w:val="4"/>
            <w:vAlign w:val="center"/>
          </w:tcPr>
          <w:p w14:paraId="0B306A63" w14:textId="77777777" w:rsidR="00A23725" w:rsidRDefault="00A23725" w:rsidP="00A43E4C">
            <w:pPr>
              <w:spacing w:after="200" w:line="276" w:lineRule="auto"/>
              <w:jc w:val="both"/>
            </w:pPr>
          </w:p>
          <w:p w14:paraId="5B6E1EB2" w14:textId="77777777" w:rsidR="00A23725" w:rsidRDefault="00A23725" w:rsidP="00A43E4C">
            <w:pPr>
              <w:spacing w:after="200" w:line="276" w:lineRule="auto"/>
              <w:jc w:val="both"/>
            </w:pPr>
          </w:p>
          <w:p w14:paraId="2A9C7E7D" w14:textId="77777777" w:rsidR="00A23725" w:rsidRDefault="00A23725" w:rsidP="00A43E4C">
            <w:pPr>
              <w:spacing w:after="200" w:line="276" w:lineRule="auto"/>
              <w:jc w:val="both"/>
            </w:pPr>
          </w:p>
          <w:p w14:paraId="50AD437F" w14:textId="77777777" w:rsidR="00A23725" w:rsidRDefault="00A23725" w:rsidP="00A43E4C">
            <w:pPr>
              <w:spacing w:after="200" w:line="276" w:lineRule="auto"/>
              <w:jc w:val="both"/>
            </w:pPr>
          </w:p>
          <w:p w14:paraId="220340EC" w14:textId="77777777" w:rsidR="00A23725" w:rsidRDefault="00A23725" w:rsidP="00A43E4C">
            <w:pPr>
              <w:spacing w:after="200" w:line="276" w:lineRule="auto"/>
              <w:jc w:val="both"/>
            </w:pPr>
          </w:p>
          <w:p w14:paraId="71DE52C8" w14:textId="77777777" w:rsidR="00A23725" w:rsidRDefault="00A23725" w:rsidP="00A43E4C">
            <w:pPr>
              <w:spacing w:after="200" w:line="276" w:lineRule="auto"/>
              <w:jc w:val="both"/>
            </w:pPr>
          </w:p>
          <w:p w14:paraId="791AB392" w14:textId="77777777" w:rsidR="00A23725" w:rsidRDefault="00A23725" w:rsidP="00A43E4C">
            <w:pPr>
              <w:spacing w:after="200" w:line="276" w:lineRule="auto"/>
              <w:jc w:val="both"/>
            </w:pPr>
            <w:r w:rsidRPr="007271AF">
              <w:t>Signed by</w:t>
            </w:r>
            <w:r>
              <w:t>:</w:t>
            </w:r>
          </w:p>
        </w:tc>
      </w:tr>
      <w:tr w:rsidR="00A23725" w14:paraId="61199E47" w14:textId="77777777" w:rsidTr="00A43E4C">
        <w:trPr>
          <w:trHeight w:val="624"/>
        </w:trPr>
        <w:tc>
          <w:tcPr>
            <w:tcW w:w="2813" w:type="dxa"/>
            <w:tcBorders>
              <w:bottom w:val="single" w:sz="2" w:space="0" w:color="auto"/>
            </w:tcBorders>
          </w:tcPr>
          <w:p w14:paraId="7BBE75DB" w14:textId="77777777" w:rsidR="00A23725" w:rsidRPr="007271AF" w:rsidRDefault="00A23725" w:rsidP="00A43E4C">
            <w:pPr>
              <w:spacing w:after="200" w:line="276" w:lineRule="auto"/>
              <w:jc w:val="both"/>
            </w:pPr>
          </w:p>
        </w:tc>
        <w:tc>
          <w:tcPr>
            <w:tcW w:w="2149" w:type="dxa"/>
            <w:vAlign w:val="bottom"/>
          </w:tcPr>
          <w:p w14:paraId="54BC4A4B" w14:textId="77777777" w:rsidR="00A23725" w:rsidRDefault="00A23725" w:rsidP="00A43E4C">
            <w:pPr>
              <w:spacing w:after="200" w:line="276" w:lineRule="auto"/>
              <w:jc w:val="both"/>
            </w:pPr>
            <w:r w:rsidRPr="0066208C">
              <w:t>Headteacher</w:t>
            </w:r>
          </w:p>
        </w:tc>
        <w:tc>
          <w:tcPr>
            <w:tcW w:w="846" w:type="dxa"/>
            <w:vAlign w:val="bottom"/>
          </w:tcPr>
          <w:p w14:paraId="567B0346" w14:textId="77777777" w:rsidR="00A23725" w:rsidRDefault="00A23725" w:rsidP="00A43E4C">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A43E4C">
            <w:pPr>
              <w:spacing w:after="200" w:line="276" w:lineRule="auto"/>
              <w:jc w:val="both"/>
            </w:pPr>
          </w:p>
        </w:tc>
      </w:tr>
      <w:tr w:rsidR="00A23725" w14:paraId="563E037E" w14:textId="77777777" w:rsidTr="00A43E4C">
        <w:trPr>
          <w:trHeight w:val="624"/>
        </w:trPr>
        <w:tc>
          <w:tcPr>
            <w:tcW w:w="2813" w:type="dxa"/>
            <w:tcBorders>
              <w:top w:val="single" w:sz="2" w:space="0" w:color="auto"/>
              <w:bottom w:val="single" w:sz="4" w:space="0" w:color="auto"/>
            </w:tcBorders>
          </w:tcPr>
          <w:p w14:paraId="2ED9E49C" w14:textId="77777777" w:rsidR="00A23725" w:rsidRPr="007271AF" w:rsidRDefault="00A23725" w:rsidP="00A43E4C">
            <w:pPr>
              <w:spacing w:after="200" w:line="276" w:lineRule="auto"/>
              <w:jc w:val="both"/>
            </w:pPr>
          </w:p>
        </w:tc>
        <w:tc>
          <w:tcPr>
            <w:tcW w:w="2149" w:type="dxa"/>
            <w:vAlign w:val="bottom"/>
          </w:tcPr>
          <w:p w14:paraId="7823EDD7" w14:textId="77777777" w:rsidR="00A23725" w:rsidRDefault="00A23725" w:rsidP="00A43E4C">
            <w:pPr>
              <w:spacing w:after="200" w:line="276" w:lineRule="auto"/>
              <w:jc w:val="both"/>
              <w:rPr>
                <w:highlight w:val="lightGray"/>
              </w:rPr>
            </w:pPr>
            <w:r>
              <w:t>Chair of g</w:t>
            </w:r>
            <w:r w:rsidRPr="007271AF">
              <w:t>overnors</w:t>
            </w:r>
          </w:p>
        </w:tc>
        <w:tc>
          <w:tcPr>
            <w:tcW w:w="846" w:type="dxa"/>
            <w:vAlign w:val="bottom"/>
          </w:tcPr>
          <w:p w14:paraId="156841A7" w14:textId="77777777" w:rsidR="00A23725" w:rsidRDefault="00A23725" w:rsidP="00A43E4C">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A43E4C">
            <w:pPr>
              <w:spacing w:after="200" w:line="276" w:lineRule="auto"/>
              <w:jc w:val="both"/>
            </w:pPr>
          </w:p>
        </w:tc>
      </w:tr>
    </w:tbl>
    <w:p w14:paraId="2418E38C" w14:textId="7E71C789" w:rsidR="00A23725" w:rsidRDefault="00A23725" w:rsidP="00A23725">
      <w:pPr>
        <w:jc w:val="both"/>
      </w:pPr>
    </w:p>
    <w:p w14:paraId="6E00BD2A" w14:textId="2D65F1C4" w:rsidR="00564A41" w:rsidRDefault="00564A41" w:rsidP="00A23725">
      <w:pPr>
        <w:jc w:val="both"/>
      </w:pPr>
    </w:p>
    <w:p w14:paraId="151716D8" w14:textId="77777777" w:rsidR="00564A41" w:rsidRDefault="00564A41" w:rsidP="00A23725">
      <w:pPr>
        <w:jc w:val="both"/>
        <w:sectPr w:rsidR="00564A41" w:rsidSect="00463AF4">
          <w:pgSz w:w="11906" w:h="16838"/>
          <w:pgMar w:top="1440" w:right="1440" w:bottom="1440" w:left="1440" w:header="709" w:footer="709" w:gutter="0"/>
          <w:pgNumType w:start="0"/>
          <w:cols w:space="708"/>
          <w:docGrid w:linePitch="360"/>
        </w:sectPr>
      </w:pPr>
    </w:p>
    <w:p w14:paraId="49738D44" w14:textId="77777777" w:rsidR="00A23725" w:rsidRPr="00223A05" w:rsidRDefault="00A23725" w:rsidP="00564A41">
      <w:pPr>
        <w:pStyle w:val="Heading10"/>
      </w:pPr>
      <w:bookmarkStart w:id="9" w:name="_Legal_framework_1"/>
      <w:bookmarkEnd w:id="9"/>
      <w:r w:rsidRPr="00223A05">
        <w:t>Legal framework</w:t>
      </w:r>
    </w:p>
    <w:p w14:paraId="76B91FEB" w14:textId="77777777" w:rsidR="00564A41" w:rsidRDefault="00564A41" w:rsidP="00564A41">
      <w:pPr>
        <w:pStyle w:val="TSB-Level1Numbers"/>
      </w:pPr>
      <w:r>
        <w:t>This policy has due regard to statutory legislation including, but not limited to, the following:</w:t>
      </w:r>
    </w:p>
    <w:p w14:paraId="370A6E83" w14:textId="77777777" w:rsidR="00564A41" w:rsidRDefault="00564A41" w:rsidP="00564A41">
      <w:pPr>
        <w:pStyle w:val="PolicyBullets"/>
      </w:pPr>
      <w:r>
        <w:t>Data Protection Act 1998</w:t>
      </w:r>
    </w:p>
    <w:p w14:paraId="263E600C" w14:textId="77777777" w:rsidR="00564A41" w:rsidRDefault="00564A41" w:rsidP="00564A41">
      <w:pPr>
        <w:pStyle w:val="PolicyBullets"/>
      </w:pPr>
      <w:r>
        <w:t>The Freedom of Information Act 2000</w:t>
      </w:r>
    </w:p>
    <w:p w14:paraId="41F778A3" w14:textId="77777777" w:rsidR="00564A41" w:rsidRDefault="00564A41" w:rsidP="00564A41">
      <w:pPr>
        <w:pStyle w:val="PolicyBullets"/>
      </w:pPr>
      <w:r>
        <w:t>The Privacy and Electronic Communications (EC Directive) Regulations 2003</w:t>
      </w:r>
    </w:p>
    <w:p w14:paraId="4DDBDB9B" w14:textId="7AC1FA58" w:rsidR="00564A41" w:rsidRDefault="00564A41" w:rsidP="00564A41">
      <w:pPr>
        <w:pStyle w:val="PolicyBullets"/>
      </w:pPr>
      <w:r>
        <w:t xml:space="preserve">Electronic Commerce (EC Directive) Regulations 2002 </w:t>
      </w:r>
    </w:p>
    <w:p w14:paraId="7EADF342" w14:textId="77777777" w:rsidR="00564A41" w:rsidRDefault="00564A41" w:rsidP="00564A41">
      <w:pPr>
        <w:pStyle w:val="PolicyBullets"/>
        <w:numPr>
          <w:ilvl w:val="0"/>
          <w:numId w:val="0"/>
        </w:numPr>
        <w:ind w:left="1922"/>
      </w:pPr>
    </w:p>
    <w:p w14:paraId="0684B3B6" w14:textId="77777777" w:rsidR="00564A41" w:rsidRDefault="00564A41" w:rsidP="00564A41">
      <w:pPr>
        <w:pStyle w:val="TSB-Level1Numbers"/>
      </w:pPr>
      <w:r>
        <w:t>This policy has due regard to national guidance including, but not limited to, the following:</w:t>
      </w:r>
    </w:p>
    <w:p w14:paraId="2BEEFDE6" w14:textId="77777777" w:rsidR="00564A41" w:rsidRDefault="00564A41" w:rsidP="00564A41">
      <w:pPr>
        <w:pStyle w:val="PolicyBullets"/>
      </w:pPr>
      <w:r>
        <w:t>DfE (2014) ‘Cloud (educational apps) software services and the Data Protection Act’</w:t>
      </w:r>
    </w:p>
    <w:p w14:paraId="0A8F1D8D" w14:textId="725A1D64" w:rsidR="00564A41" w:rsidRDefault="00564A41" w:rsidP="00564A41">
      <w:pPr>
        <w:pStyle w:val="PolicyBullets"/>
      </w:pPr>
      <w:r>
        <w:t xml:space="preserve">DfE (2017) ‘Cloud computing services’ </w:t>
      </w:r>
    </w:p>
    <w:p w14:paraId="06266D42" w14:textId="77777777" w:rsidR="00564A41" w:rsidRDefault="00564A41" w:rsidP="00564A41">
      <w:pPr>
        <w:pStyle w:val="PolicyBullets"/>
        <w:numPr>
          <w:ilvl w:val="0"/>
          <w:numId w:val="0"/>
        </w:numPr>
        <w:ind w:left="1922"/>
      </w:pPr>
    </w:p>
    <w:p w14:paraId="2F6D5828" w14:textId="77777777" w:rsidR="00564A41" w:rsidRPr="00463AF4" w:rsidRDefault="00564A41" w:rsidP="00564A41">
      <w:pPr>
        <w:pStyle w:val="TSB-Level1Numbers"/>
      </w:pPr>
      <w:r>
        <w:t xml:space="preserve">This policy is intended to be used in conjunction with the following school </w:t>
      </w:r>
      <w:r w:rsidRPr="00463AF4">
        <w:t xml:space="preserve">policies: </w:t>
      </w:r>
    </w:p>
    <w:p w14:paraId="10DBB746" w14:textId="77777777" w:rsidR="00564A41" w:rsidRPr="00463AF4" w:rsidRDefault="00564A41" w:rsidP="00564A41">
      <w:pPr>
        <w:pStyle w:val="PolicyBullets"/>
      </w:pPr>
      <w:r w:rsidRPr="00463AF4">
        <w:t>Data Protection Policy</w:t>
      </w:r>
    </w:p>
    <w:p w14:paraId="5812A982" w14:textId="77777777" w:rsidR="00564A41" w:rsidRPr="00463AF4" w:rsidRDefault="00564A41" w:rsidP="00564A41">
      <w:pPr>
        <w:pStyle w:val="PolicyBullets"/>
      </w:pPr>
      <w:r w:rsidRPr="00463AF4">
        <w:t>Freedom of Information Policy</w:t>
      </w:r>
    </w:p>
    <w:p w14:paraId="5EFDB917" w14:textId="77777777" w:rsidR="00564A41" w:rsidRPr="00463AF4" w:rsidRDefault="00564A41" w:rsidP="00564A41">
      <w:pPr>
        <w:pStyle w:val="PolicyBullets"/>
      </w:pPr>
      <w:r w:rsidRPr="00463AF4">
        <w:t>E-security Policy</w:t>
      </w:r>
    </w:p>
    <w:p w14:paraId="46B29187" w14:textId="77777777" w:rsidR="00564A41" w:rsidRPr="00463AF4" w:rsidRDefault="00564A41" w:rsidP="00564A41">
      <w:pPr>
        <w:pStyle w:val="PolicyBullets"/>
      </w:pPr>
      <w:r w:rsidRPr="00463AF4">
        <w:t>Child Protection and Safeguarding Policy</w:t>
      </w:r>
    </w:p>
    <w:p w14:paraId="4B85D0A4" w14:textId="0B3A2E0F" w:rsidR="00564A41" w:rsidRPr="00463AF4" w:rsidRDefault="00564A41" w:rsidP="00564A41">
      <w:pPr>
        <w:pStyle w:val="PolicyBullets"/>
      </w:pPr>
      <w:r w:rsidRPr="00463AF4">
        <w:t>Social Media Policy</w:t>
      </w:r>
    </w:p>
    <w:p w14:paraId="5205A7F3" w14:textId="77777777" w:rsidR="00564A41" w:rsidRPr="00463AF4" w:rsidRDefault="00564A41" w:rsidP="00564A41">
      <w:pPr>
        <w:pStyle w:val="PolicyBullets"/>
        <w:numPr>
          <w:ilvl w:val="0"/>
          <w:numId w:val="0"/>
        </w:numPr>
        <w:ind w:left="1922"/>
        <w:rPr>
          <w:b/>
          <w:u w:val="single"/>
        </w:rPr>
      </w:pPr>
    </w:p>
    <w:p w14:paraId="67A2134B" w14:textId="77777777" w:rsidR="00564A41" w:rsidRDefault="00564A41" w:rsidP="00564A41">
      <w:pPr>
        <w:pStyle w:val="Heading10"/>
      </w:pPr>
      <w:bookmarkStart w:id="10" w:name="_Roles_and_responsibilities"/>
      <w:bookmarkStart w:id="11" w:name="_Definition"/>
      <w:bookmarkEnd w:id="10"/>
      <w:bookmarkEnd w:id="11"/>
      <w:r>
        <w:t>Definition</w:t>
      </w:r>
    </w:p>
    <w:p w14:paraId="4FCB1DC7" w14:textId="77777777" w:rsidR="00564A41" w:rsidRDefault="00564A41" w:rsidP="00564A41">
      <w:pPr>
        <w:pStyle w:val="TSB-Level1Numbers"/>
      </w:pPr>
      <w:r>
        <w:t xml:space="preserve">For the purpose of this policy, the term ‘cloud computing’ refers to storing and accessing data and programs over the internet, instead of on a device’s hard drive. </w:t>
      </w:r>
    </w:p>
    <w:p w14:paraId="3E424CF6" w14:textId="77777777" w:rsidR="00564A41" w:rsidRDefault="00564A41" w:rsidP="00564A41">
      <w:pPr>
        <w:pStyle w:val="TSB-Level1Numbers"/>
      </w:pPr>
      <w:r>
        <w:t>Cloud computing involves schools accessing a shared pool of ICT services remotely via a private network or the internet, resulting in less on-premises equipment and a more flexible, affordable and manageable model of ICT provision.</w:t>
      </w:r>
    </w:p>
    <w:p w14:paraId="108F41E7" w14:textId="77777777" w:rsidR="00564A41" w:rsidRPr="00564A41" w:rsidRDefault="00564A41" w:rsidP="00564A41">
      <w:pPr>
        <w:pStyle w:val="Heading10"/>
      </w:pPr>
      <w:bookmarkStart w:id="12" w:name="_Roles_and_responsibilities_1"/>
      <w:bookmarkEnd w:id="12"/>
      <w:r w:rsidRPr="00564A41">
        <w:t xml:space="preserve">Roles and responsibilities </w:t>
      </w:r>
    </w:p>
    <w:p w14:paraId="62DFE7CC" w14:textId="772C8DB6" w:rsidR="00564A41" w:rsidRPr="00564A41" w:rsidRDefault="00564A41" w:rsidP="00564A41">
      <w:pPr>
        <w:pStyle w:val="TSB-Level1Numbers"/>
        <w:numPr>
          <w:ilvl w:val="0"/>
          <w:numId w:val="0"/>
        </w:numPr>
        <w:ind w:left="1480"/>
        <w:rPr>
          <w:b/>
        </w:rPr>
      </w:pPr>
      <w:r w:rsidRPr="00564A41">
        <w:rPr>
          <w:b/>
        </w:rPr>
        <w:t xml:space="preserve">The school is responsible for: </w:t>
      </w:r>
    </w:p>
    <w:p w14:paraId="42CC75BE" w14:textId="77777777" w:rsidR="00564A41" w:rsidRDefault="00564A41" w:rsidP="00564A41">
      <w:pPr>
        <w:pStyle w:val="TSB-Level1Numbers"/>
      </w:pPr>
      <w:r>
        <w:t xml:space="preserve">Undertaking an ICT network audit to identify enhancements, including those in relation to bandwidth, latency and security, that should be made prior to moving to a cloud-based service. </w:t>
      </w:r>
    </w:p>
    <w:p w14:paraId="38CDE4CC" w14:textId="77777777" w:rsidR="00564A41" w:rsidRDefault="00564A41" w:rsidP="00564A41">
      <w:pPr>
        <w:pStyle w:val="TSB-Level1Numbers"/>
      </w:pPr>
      <w:r>
        <w:t xml:space="preserve">Ensuring staff members act in accordance with relevant legislation, including those who process personal information complying with the eight principles of the Data Protection Act 1998. </w:t>
      </w:r>
    </w:p>
    <w:p w14:paraId="4DCF39BB" w14:textId="77777777" w:rsidR="00564A41" w:rsidRDefault="00564A41" w:rsidP="00564A41">
      <w:pPr>
        <w:pStyle w:val="TSB-Level1Numbers"/>
      </w:pPr>
      <w:r>
        <w:t xml:space="preserve">Organising training for staff members regarding how to effectively and securely use the cloud-based service. </w:t>
      </w:r>
    </w:p>
    <w:p w14:paraId="21E689AF" w14:textId="77777777" w:rsidR="00564A41" w:rsidRDefault="00564A41" w:rsidP="00564A41">
      <w:pPr>
        <w:pStyle w:val="TSB-Level1Numbers"/>
      </w:pPr>
      <w:r>
        <w:t xml:space="preserve">Collating several quotations for cloud-based service, ensuring that value for money is gained. </w:t>
      </w:r>
    </w:p>
    <w:p w14:paraId="243CD4BE" w14:textId="77777777" w:rsidR="00564A41" w:rsidRDefault="00564A41" w:rsidP="00564A41">
      <w:pPr>
        <w:pStyle w:val="TSB-Level1Numbers"/>
      </w:pPr>
      <w:r>
        <w:t xml:space="preserve">Choosing a reputable cloud service provider, using their self-certification checklist to evaluate their education sector awareness, data protection practices and security controls. </w:t>
      </w:r>
    </w:p>
    <w:p w14:paraId="4CBA5284" w14:textId="77777777" w:rsidR="00564A41" w:rsidRDefault="00564A41" w:rsidP="00564A41">
      <w:pPr>
        <w:pStyle w:val="TSB-Level1Numbers"/>
      </w:pPr>
      <w:r>
        <w:t xml:space="preserve">Ensuring that the cloud service provider has successfully completed the self-certification process. </w:t>
      </w:r>
    </w:p>
    <w:p w14:paraId="22FC7576" w14:textId="77777777" w:rsidR="00564A41" w:rsidRDefault="00564A41" w:rsidP="00564A41">
      <w:pPr>
        <w:pStyle w:val="TSB-Level1Numbers"/>
      </w:pPr>
      <w:r>
        <w:t xml:space="preserve">Ensuring that there are effective network security arrangements in place. </w:t>
      </w:r>
    </w:p>
    <w:p w14:paraId="4A32EBBC" w14:textId="77777777" w:rsidR="00564A41" w:rsidRDefault="00564A41" w:rsidP="00564A41">
      <w:pPr>
        <w:pStyle w:val="TSB-Level1Numbers"/>
      </w:pPr>
      <w:r>
        <w:t xml:space="preserve">Checking that reasonable measures have been taken to cope with the risk of losing, or the disruption of, network connectivity, such as the use of backup internet network links. </w:t>
      </w:r>
    </w:p>
    <w:p w14:paraId="1E8A6A29" w14:textId="77777777" w:rsidR="00564A41" w:rsidRDefault="00564A41" w:rsidP="00564A41">
      <w:pPr>
        <w:pStyle w:val="TSB-Level1Numbers"/>
      </w:pPr>
      <w:r>
        <w:t xml:space="preserve">Carrying out privacy impact assessments, when deciding whether to implement new systems, to identity any risks to privacy. </w:t>
      </w:r>
    </w:p>
    <w:p w14:paraId="3F1758B9" w14:textId="77777777" w:rsidR="00564A41" w:rsidRDefault="00564A41" w:rsidP="00564A41">
      <w:pPr>
        <w:pStyle w:val="TSB-Level1Numbers"/>
      </w:pPr>
      <w:r>
        <w:t xml:space="preserve">Making staff members, pupils and parents aware of the expected behaviour when using the cloud service, in accordance with the school’s </w:t>
      </w:r>
      <w:r w:rsidRPr="00463AF4">
        <w:t>Acceptable Use Agreement</w:t>
      </w:r>
      <w:r>
        <w:t xml:space="preserve">. </w:t>
      </w:r>
    </w:p>
    <w:p w14:paraId="7DB38306" w14:textId="77777777" w:rsidR="00564A41" w:rsidRPr="00564A41" w:rsidRDefault="00564A41" w:rsidP="00564A41">
      <w:pPr>
        <w:pStyle w:val="TSB-Level1Numbers"/>
        <w:numPr>
          <w:ilvl w:val="0"/>
          <w:numId w:val="0"/>
        </w:numPr>
        <w:ind w:left="1480"/>
        <w:rPr>
          <w:b/>
        </w:rPr>
      </w:pPr>
      <w:r w:rsidRPr="00564A41">
        <w:rPr>
          <w:b/>
        </w:rPr>
        <w:t>The cloud service provider is responsible for:</w:t>
      </w:r>
    </w:p>
    <w:p w14:paraId="6AB68ADE" w14:textId="77777777" w:rsidR="00564A41" w:rsidRDefault="00564A41" w:rsidP="00564A41">
      <w:pPr>
        <w:pStyle w:val="TSB-Level1Numbers"/>
      </w:pPr>
      <w:r>
        <w:t xml:space="preserve">Keeping their self-certification checklist up-to-date with any changes to the service, ensuring that their existing compliance statement is accurate. </w:t>
      </w:r>
    </w:p>
    <w:p w14:paraId="77FA5311" w14:textId="77777777" w:rsidR="00564A41" w:rsidRDefault="00564A41" w:rsidP="00564A41">
      <w:pPr>
        <w:pStyle w:val="TSB-Level1Numbers"/>
      </w:pPr>
      <w:r>
        <w:t xml:space="preserve">Ensuring that their self-certification checklist is accurately completed and independently verified by a named senior official of the cloud service provider. </w:t>
      </w:r>
    </w:p>
    <w:p w14:paraId="5951AD02" w14:textId="77777777" w:rsidR="00564A41" w:rsidRDefault="00564A41" w:rsidP="00564A41">
      <w:pPr>
        <w:pStyle w:val="TSB-Level1Numbers"/>
      </w:pPr>
      <w:r>
        <w:t>Promptly providing any additional information or clarification sought by the DfE, as part of the self-certification process.</w:t>
      </w:r>
    </w:p>
    <w:p w14:paraId="2D670D0E" w14:textId="77777777" w:rsidR="00564A41" w:rsidRDefault="00564A41" w:rsidP="00564A41">
      <w:pPr>
        <w:pStyle w:val="TSB-Level1Numbers"/>
        <w:ind w:left="1424" w:hanging="431"/>
      </w:pPr>
      <w:r>
        <w:t xml:space="preserve">Providing clarity regarding the support infrastructure they have in place to assist the school in the event of some serious or unforeseen issue, in relation to the use of their cloud service. </w:t>
      </w:r>
    </w:p>
    <w:p w14:paraId="656C9811" w14:textId="77777777" w:rsidR="00564A41" w:rsidRDefault="00564A41" w:rsidP="00564A41">
      <w:pPr>
        <w:pStyle w:val="Heading10"/>
      </w:pPr>
      <w:bookmarkStart w:id="13" w:name="_Data_protection"/>
      <w:bookmarkEnd w:id="13"/>
      <w:r>
        <w:t xml:space="preserve">Data protection </w:t>
      </w:r>
    </w:p>
    <w:p w14:paraId="1212B70B" w14:textId="77777777" w:rsidR="00564A41" w:rsidRDefault="00564A41" w:rsidP="00564A41">
      <w:pPr>
        <w:pStyle w:val="TSB-Level1Numbers"/>
      </w:pPr>
      <w:r>
        <w:t xml:space="preserve">All staff members are made aware of data protection requirements and have an understanding of how these are impacted by the storing of data in the cloud. </w:t>
      </w:r>
    </w:p>
    <w:p w14:paraId="7304E5ED" w14:textId="77777777" w:rsidR="00564A41" w:rsidRDefault="00564A41" w:rsidP="00564A41">
      <w:pPr>
        <w:pStyle w:val="TSB-Level1Numbers"/>
      </w:pPr>
      <w:r>
        <w:t xml:space="preserve">Personal data is processed in compliance with the Data Protection Act 1998 and the school’s Data Protection Policy. </w:t>
      </w:r>
    </w:p>
    <w:p w14:paraId="1DF5B980" w14:textId="77777777" w:rsidR="00564A41" w:rsidRDefault="00564A41" w:rsidP="00564A41">
      <w:pPr>
        <w:pStyle w:val="TSB-Level1Numbers"/>
      </w:pPr>
      <w:r>
        <w:t xml:space="preserve">The school’s </w:t>
      </w:r>
      <w:r w:rsidRPr="00463AF4">
        <w:t>Data Protection Policy</w:t>
      </w:r>
      <w:r>
        <w:t xml:space="preserve"> is adhered to at all times. </w:t>
      </w:r>
    </w:p>
    <w:p w14:paraId="76DA1579" w14:textId="77777777" w:rsidR="00564A41" w:rsidRDefault="00564A41" w:rsidP="00564A41">
      <w:pPr>
        <w:pStyle w:val="TSB-Level1Numbers"/>
      </w:pPr>
      <w:r>
        <w:t>The</w:t>
      </w:r>
      <w:r w:rsidRPr="00463AF4">
        <w:t xml:space="preserve"> headteacher</w:t>
      </w:r>
      <w:r>
        <w:t xml:space="preserve"> will ensure that a contract and </w:t>
      </w:r>
      <w:r w:rsidRPr="00463AF4">
        <w:t>data processing agreement</w:t>
      </w:r>
      <w:r>
        <w:t xml:space="preserve"> are in place with the service provider, confirming compliance with the Data Protection Act. </w:t>
      </w:r>
    </w:p>
    <w:p w14:paraId="2776C915" w14:textId="71F3A86B" w:rsidR="00564A41" w:rsidRDefault="00564A41" w:rsidP="00564A41">
      <w:pPr>
        <w:pStyle w:val="TSB-Level1Numbers"/>
      </w:pPr>
      <w:r>
        <w:t xml:space="preserve">The school will not use non-managed storage solutions for storing data that is personal or critical to the running of the school. </w:t>
      </w:r>
    </w:p>
    <w:p w14:paraId="130CE381" w14:textId="77777777" w:rsidR="00564A41" w:rsidRDefault="00564A41" w:rsidP="00564A41">
      <w:pPr>
        <w:pStyle w:val="TSB-Level1Numbers"/>
      </w:pPr>
      <w:r>
        <w:t>The</w:t>
      </w:r>
      <w:r w:rsidRPr="00463AF4">
        <w:t xml:space="preserve"> headteacher</w:t>
      </w:r>
      <w:r>
        <w:t xml:space="preserve"> will ensure that the cloud-based service provider has completed a comprehensive and effective self-certification checklist covering data protection in the cloud. </w:t>
      </w:r>
    </w:p>
    <w:p w14:paraId="70807A2B" w14:textId="77777777" w:rsidR="00564A41" w:rsidRDefault="00564A41" w:rsidP="00564A41">
      <w:pPr>
        <w:pStyle w:val="TSB-Level1Numbers"/>
      </w:pPr>
      <w:r>
        <w:t>The school’s</w:t>
      </w:r>
      <w:r w:rsidRPr="00463AF4">
        <w:t xml:space="preserve"> data controllers </w:t>
      </w:r>
      <w:r>
        <w:t xml:space="preserve">are responsible for assessing the level of risk regarding network connectivity and making an informed decision as to whether the school is prepared to accept that risk. </w:t>
      </w:r>
    </w:p>
    <w:p w14:paraId="0BDBA734" w14:textId="77777777" w:rsidR="00564A41" w:rsidRDefault="00564A41" w:rsidP="00564A41">
      <w:pPr>
        <w:pStyle w:val="Heading10"/>
      </w:pPr>
      <w:bookmarkStart w:id="14" w:name="_Monitoring_and_review"/>
      <w:bookmarkEnd w:id="14"/>
      <w:r>
        <w:t>Monitoring and review</w:t>
      </w:r>
    </w:p>
    <w:p w14:paraId="04AA38CE" w14:textId="7A9795F5" w:rsidR="00564A41" w:rsidRDefault="00564A41" w:rsidP="00564A41">
      <w:pPr>
        <w:pStyle w:val="TSB-Level1Numbers"/>
      </w:pPr>
      <w:r>
        <w:t xml:space="preserve">The use of the school’s cloud service will be monitored by the </w:t>
      </w:r>
      <w:r w:rsidRPr="00463AF4">
        <w:t xml:space="preserve">ICT </w:t>
      </w:r>
      <w:r w:rsidR="00463AF4">
        <w:t>Manager</w:t>
      </w:r>
      <w:r>
        <w:t xml:space="preserve">, with any suspicious or inappropriate behaviour of pupils, staff or parents being reported directly to the </w:t>
      </w:r>
      <w:r w:rsidRPr="00463AF4">
        <w:t>headteacher</w:t>
      </w:r>
      <w:r>
        <w:t xml:space="preserve">. </w:t>
      </w:r>
    </w:p>
    <w:p w14:paraId="2BD463B9" w14:textId="50EBA266" w:rsidR="0016046D" w:rsidRPr="00463AF4" w:rsidRDefault="00564A41" w:rsidP="00564A41">
      <w:pPr>
        <w:pStyle w:val="TSB-Level1Numbers"/>
      </w:pPr>
      <w:r>
        <w:t xml:space="preserve">This policy will be reviewed every </w:t>
      </w:r>
      <w:r w:rsidRPr="00463AF4">
        <w:t>two years</w:t>
      </w:r>
      <w:r>
        <w:t xml:space="preserve"> by the </w:t>
      </w:r>
      <w:r w:rsidRPr="00463AF4">
        <w:t>governing board</w:t>
      </w:r>
      <w:r>
        <w:t xml:space="preserve"> and </w:t>
      </w:r>
      <w:r w:rsidRPr="00463AF4">
        <w:t>headteacher</w:t>
      </w:r>
      <w:r>
        <w:t xml:space="preserve">. </w:t>
      </w:r>
    </w:p>
    <w:sectPr w:rsidR="0016046D" w:rsidRPr="00463AF4" w:rsidSect="00463AF4">
      <w:headerReference w:type="default" r:id="rId9"/>
      <w:headerReference w:type="first" r:id="rId1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EA118" w14:textId="77777777" w:rsidR="00697DB8" w:rsidRDefault="00697DB8" w:rsidP="00AD4155">
      <w:r>
        <w:separator/>
      </w:r>
    </w:p>
  </w:endnote>
  <w:endnote w:type="continuationSeparator" w:id="0">
    <w:p w14:paraId="770F6351" w14:textId="77777777" w:rsidR="00697DB8" w:rsidRDefault="00697DB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0F471EE-F6C5-4BA5-B062-E0CCF9B0AC6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C6237" w14:textId="77777777" w:rsidR="00697DB8" w:rsidRDefault="00697DB8" w:rsidP="00AD4155">
      <w:r>
        <w:separator/>
      </w:r>
    </w:p>
  </w:footnote>
  <w:footnote w:type="continuationSeparator" w:id="0">
    <w:p w14:paraId="4E1504DB" w14:textId="77777777" w:rsidR="00697DB8" w:rsidRDefault="00697DB8"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E85856" w:rsidRDefault="00E858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E85856" w:rsidRDefault="00E858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52A71"/>
    <w:multiLevelType w:val="hybridMultilevel"/>
    <w:tmpl w:val="E7D42F28"/>
    <w:lvl w:ilvl="0" w:tplc="605AD42A">
      <w:start w:val="1"/>
      <w:numFmt w:val="bullet"/>
      <w:lvlText w:val=""/>
      <w:lvlJc w:val="left"/>
      <w:pPr>
        <w:ind w:left="2138" w:hanging="360"/>
      </w:pPr>
      <w:rPr>
        <w:rFonts w:ascii="Symbol" w:hAnsi="Symbol" w:hint="default"/>
        <w:color w:val="auto"/>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5"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4"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5"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1"/>
  </w:num>
  <w:num w:numId="2">
    <w:abstractNumId w:val="23"/>
  </w:num>
  <w:num w:numId="3">
    <w:abstractNumId w:val="12"/>
  </w:num>
  <w:num w:numId="4">
    <w:abstractNumId w:val="1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0"/>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6"/>
  </w:num>
  <w:num w:numId="9">
    <w:abstractNumId w:val="17"/>
  </w:num>
  <w:num w:numId="10">
    <w:abstractNumId w:val="5"/>
  </w:num>
  <w:num w:numId="11">
    <w:abstractNumId w:val="9"/>
  </w:num>
  <w:num w:numId="12">
    <w:abstractNumId w:val="24"/>
  </w:num>
  <w:num w:numId="13">
    <w:abstractNumId w:val="25"/>
  </w:num>
  <w:num w:numId="14">
    <w:abstractNumId w:val="14"/>
  </w:num>
  <w:num w:numId="15">
    <w:abstractNumId w:val="7"/>
  </w:num>
  <w:num w:numId="16">
    <w:abstractNumId w:val="2"/>
  </w:num>
  <w:num w:numId="17">
    <w:abstractNumId w:val="6"/>
  </w:num>
  <w:num w:numId="18">
    <w:abstractNumId w:val="11"/>
  </w:num>
  <w:num w:numId="19">
    <w:abstractNumId w:val="8"/>
  </w:num>
  <w:num w:numId="20">
    <w:abstractNumId w:val="18"/>
  </w:num>
  <w:num w:numId="21">
    <w:abstractNumId w:val="3"/>
  </w:num>
  <w:num w:numId="22">
    <w:abstractNumId w:val="15"/>
  </w:num>
  <w:num w:numId="23">
    <w:abstractNumId w:val="1"/>
  </w:num>
  <w:num w:numId="24">
    <w:abstractNumId w:val="20"/>
  </w:num>
  <w:num w:numId="25">
    <w:abstractNumId w:val="22"/>
  </w:num>
  <w:num w:numId="26">
    <w:abstractNumId w:val="10"/>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3"/>
  </w:num>
  <w:num w:numId="28">
    <w:abstractNumId w:val="19"/>
  </w:num>
  <w:num w:numId="2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cs="Times New Roman"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3AF4"/>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4A41"/>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296C"/>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DB8"/>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64A41"/>
    <w:pPr>
      <w:numPr>
        <w:numId w:val="31"/>
      </w:numPr>
      <w:ind w:left="142" w:hanging="142"/>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64A4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564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926495185">
      <w:bodyDiv w:val="1"/>
      <w:marLeft w:val="0"/>
      <w:marRight w:val="0"/>
      <w:marTop w:val="0"/>
      <w:marBottom w:val="0"/>
      <w:divBdr>
        <w:top w:val="none" w:sz="0" w:space="0" w:color="auto"/>
        <w:left w:val="none" w:sz="0" w:space="0" w:color="auto"/>
        <w:bottom w:val="none" w:sz="0" w:space="0" w:color="auto"/>
        <w:right w:val="none" w:sz="0" w:space="0" w:color="auto"/>
      </w:divBdr>
    </w:div>
    <w:div w:id="1058169247">
      <w:bodyDiv w:val="1"/>
      <w:marLeft w:val="0"/>
      <w:marRight w:val="0"/>
      <w:marTop w:val="0"/>
      <w:marBottom w:val="0"/>
      <w:divBdr>
        <w:top w:val="none" w:sz="0" w:space="0" w:color="auto"/>
        <w:left w:val="none" w:sz="0" w:space="0" w:color="auto"/>
        <w:bottom w:val="none" w:sz="0" w:space="0" w:color="auto"/>
        <w:right w:val="none" w:sz="0" w:space="0" w:color="auto"/>
      </w:divBdr>
    </w:div>
    <w:div w:id="110896336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95199-7284-488D-9332-EF3DF9AF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Sue Lyall</cp:lastModifiedBy>
  <cp:revision>2</cp:revision>
  <dcterms:created xsi:type="dcterms:W3CDTF">2018-05-21T10:05:00Z</dcterms:created>
  <dcterms:modified xsi:type="dcterms:W3CDTF">2018-05-21T10:05:00Z</dcterms:modified>
</cp:coreProperties>
</file>